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D8" w:rsidRDefault="00DA412E">
      <w:pPr>
        <w:keepNext/>
        <w:spacing w:after="200" w:line="240" w:lineRule="auto"/>
        <w:jc w:val="center"/>
        <w:rPr>
          <w:rFonts w:ascii="Open Sans" w:eastAsia="Open Sans" w:hAnsi="Open Sans" w:cs="Open Sans"/>
          <w:b/>
        </w:rPr>
      </w:pPr>
      <w:bookmarkStart w:id="0" w:name="_GoBack"/>
      <w:bookmarkEnd w:id="0"/>
      <w:r>
        <w:rPr>
          <w:rFonts w:ascii="Open Sans" w:eastAsia="Open Sans" w:hAnsi="Open Sans" w:cs="Open Sans"/>
          <w:b/>
        </w:rPr>
        <w:t>CONVENIO MARCO DE COOPERACIÓN ENTRE LA Universidad Nacional de San Martín (UNSAM - Argentina) y la Dirección Nacional de Educación del Ministerio de Educación y Cultural (Uruguay)</w:t>
      </w:r>
    </w:p>
    <w:p w:rsidR="007400D8" w:rsidRDefault="007400D8">
      <w:pPr>
        <w:spacing w:after="200"/>
        <w:jc w:val="center"/>
        <w:rPr>
          <w:rFonts w:ascii="Open Sans" w:eastAsia="Open Sans" w:hAnsi="Open Sans" w:cs="Open Sans"/>
        </w:rPr>
      </w:pP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</w:rPr>
        <w:t xml:space="preserve">En la ciudad de Montevideo, Uruguay, el día 30 de junio del 2022, entre la Dirección Nacional de Educación del Ministerio de Educación y Cultura, representada en este acto por su Director, Gonzalo </w:t>
      </w:r>
      <w:proofErr w:type="spellStart"/>
      <w:r>
        <w:rPr>
          <w:rFonts w:ascii="Open Sans" w:eastAsia="Open Sans" w:hAnsi="Open Sans" w:cs="Open Sans"/>
        </w:rPr>
        <w:t>Baroni</w:t>
      </w:r>
      <w:proofErr w:type="spellEnd"/>
      <w:r>
        <w:rPr>
          <w:rFonts w:ascii="Open Sans" w:eastAsia="Open Sans" w:hAnsi="Open Sans" w:cs="Open Sans"/>
        </w:rPr>
        <w:t xml:space="preserve"> C.I: 3.751.433-9,con domicilio en Reconquista 535 de</w:t>
      </w:r>
      <w:r>
        <w:rPr>
          <w:rFonts w:ascii="Open Sans" w:eastAsia="Open Sans" w:hAnsi="Open Sans" w:cs="Open Sans"/>
        </w:rPr>
        <w:t xml:space="preserve"> la Ciudad Montevideo de la República Oriental del Uruguay, en adelante “DNE”; y por otra parte la Universidad Nacional De San Martín con domicilio legal en Avenida 25 de Mayo y Francia, de la ciudad de San Martín, provincia de Buenos Aires, República Arge</w:t>
      </w:r>
      <w:r>
        <w:rPr>
          <w:rFonts w:ascii="Open Sans" w:eastAsia="Open Sans" w:hAnsi="Open Sans" w:cs="Open Sans"/>
        </w:rPr>
        <w:t xml:space="preserve">ntina, representada en este acto por su Rector Carlos Greco, DNI Nº 14.095.441, en adelante “UNSAM” y en conjunto “las Partes”, </w:t>
      </w:r>
      <w:r>
        <w:rPr>
          <w:rFonts w:ascii="Open Sans" w:eastAsia="Open Sans" w:hAnsi="Open Sans" w:cs="Open Sans"/>
          <w:highlight w:val="white"/>
        </w:rPr>
        <w:t>acuerdan celebrar el presente Convenio Marco de Cooperación el que estará sujeto a las siguientes cláusulas y condiciones: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  <w:color w:val="FF0000"/>
          <w:highlight w:val="white"/>
        </w:rPr>
      </w:pPr>
      <w:r>
        <w:rPr>
          <w:rFonts w:ascii="Open Sans" w:eastAsia="Open Sans" w:hAnsi="Open Sans" w:cs="Open Sans"/>
          <w:b/>
          <w:highlight w:val="white"/>
          <w:u w:val="single"/>
        </w:rPr>
        <w:t>PRIME</w:t>
      </w:r>
      <w:r>
        <w:rPr>
          <w:rFonts w:ascii="Open Sans" w:eastAsia="Open Sans" w:hAnsi="Open Sans" w:cs="Open Sans"/>
          <w:b/>
          <w:highlight w:val="white"/>
          <w:u w:val="single"/>
        </w:rPr>
        <w:t>RA: ANTECEDENTES:</w:t>
      </w:r>
    </w:p>
    <w:p w:rsidR="007400D8" w:rsidRDefault="00DA412E">
      <w:pPr>
        <w:numPr>
          <w:ilvl w:val="0"/>
          <w:numId w:val="1"/>
        </w:numPr>
        <w:spacing w:line="360" w:lineRule="auto"/>
        <w:jc w:val="both"/>
        <w:rPr>
          <w:rFonts w:ascii="Open Sans" w:eastAsia="Open Sans" w:hAnsi="Open Sans" w:cs="Open Sans"/>
          <w:color w:val="333333"/>
        </w:rPr>
      </w:pPr>
      <w:r>
        <w:rPr>
          <w:rFonts w:ascii="Open Sans" w:eastAsia="Open Sans" w:hAnsi="Open Sans" w:cs="Open Sans"/>
          <w:color w:val="333333"/>
          <w:highlight w:val="white"/>
        </w:rPr>
        <w:t>La DNE-MEC tiene entre sus principales cometidos la promoción, administración, coordinación y</w:t>
      </w:r>
      <w:r>
        <w:rPr>
          <w:rFonts w:ascii="Open Sans" w:eastAsia="Open Sans" w:hAnsi="Open Sans" w:cs="Open Sans"/>
          <w:color w:val="333333"/>
        </w:rPr>
        <w:t xml:space="preserve"> ejecución de políticas públicas educativas a nivel nacional.</w:t>
      </w:r>
    </w:p>
    <w:p w:rsidR="007400D8" w:rsidRDefault="00DA412E">
      <w:pPr>
        <w:numPr>
          <w:ilvl w:val="0"/>
          <w:numId w:val="1"/>
        </w:numPr>
        <w:spacing w:after="200" w:line="360" w:lineRule="auto"/>
        <w:jc w:val="both"/>
        <w:rPr>
          <w:rFonts w:ascii="Open Sans" w:eastAsia="Open Sans" w:hAnsi="Open Sans" w:cs="Open Sans"/>
          <w:color w:val="333333"/>
        </w:rPr>
      </w:pPr>
      <w:r>
        <w:rPr>
          <w:rFonts w:ascii="Open Sans" w:eastAsia="Open Sans" w:hAnsi="Open Sans" w:cs="Open Sans"/>
          <w:color w:val="333333"/>
        </w:rPr>
        <w:t>La UNSAM</w:t>
      </w:r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</w:rPr>
        <w:t>es una universidad nacional, pública y gratuita creada en 1992, que en pos</w:t>
      </w:r>
      <w:r>
        <w:rPr>
          <w:rFonts w:ascii="Open Sans" w:eastAsia="Open Sans" w:hAnsi="Open Sans" w:cs="Open Sans"/>
        </w:rPr>
        <w:t xml:space="preserve"> de cumplir con sus objetivos de inclusión social y  articulación territorial a través de la educación, ha creado un centro universitario (CUSAM) ubicado en el Complejo Penitenciario San Martín, donde personas privadas de su libertad estudian junto a traba</w:t>
      </w:r>
      <w:r>
        <w:rPr>
          <w:rFonts w:ascii="Open Sans" w:eastAsia="Open Sans" w:hAnsi="Open Sans" w:cs="Open Sans"/>
        </w:rPr>
        <w:t>jadores del servicio penitenciario las Carreras de Licenciatura en Trabajo Social y Sociología, Diplomatura en Arte y Gestión Cultural, y talleres artísticos y oficios.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u w:val="single"/>
        </w:rPr>
        <w:t>SEGUNDA: OBJETO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La DNE y UNSAM, convienen en establecer relaciones de cooperación, comp</w:t>
      </w:r>
      <w:r>
        <w:rPr>
          <w:rFonts w:ascii="Open Sans" w:eastAsia="Open Sans" w:hAnsi="Open Sans" w:cs="Open Sans"/>
        </w:rPr>
        <w:t>lementación y asistencia recíproca de carácter académico, tecnológico, servicios de asesoramiento, capacitación, formación e investigación. Dichas relaciones se efectivizarán mediante la adopción de medidas de coordinación y acción común en todas las áreas</w:t>
      </w:r>
      <w:r>
        <w:rPr>
          <w:rFonts w:ascii="Open Sans" w:eastAsia="Open Sans" w:hAnsi="Open Sans" w:cs="Open Sans"/>
        </w:rPr>
        <w:t xml:space="preserve"> propias de su respectiva incumbencia, toda vez que las circunstancias lo aconsejen y permitan.</w:t>
      </w:r>
    </w:p>
    <w:p w:rsidR="007400D8" w:rsidRDefault="00DA412E">
      <w:pPr>
        <w:keepNext/>
        <w:spacing w:after="200" w:line="240" w:lineRule="auto"/>
        <w:rPr>
          <w:rFonts w:ascii="Open Sans" w:eastAsia="Open Sans" w:hAnsi="Open Sans" w:cs="Open Sans"/>
          <w:b/>
          <w:u w:val="single"/>
        </w:rPr>
      </w:pPr>
      <w:r>
        <w:rPr>
          <w:rFonts w:ascii="Open Sans" w:eastAsia="Open Sans" w:hAnsi="Open Sans" w:cs="Open Sans"/>
          <w:b/>
          <w:u w:val="single"/>
        </w:rPr>
        <w:lastRenderedPageBreak/>
        <w:t>TERCERA: INSTRUMENTACIÓN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Las Partes se comprometen, a los fines de instrumentar las acciones, planes de trabajo y proyectos, a realizar convenios específicos en</w:t>
      </w:r>
      <w:r>
        <w:rPr>
          <w:rFonts w:ascii="Open Sans" w:eastAsia="Open Sans" w:hAnsi="Open Sans" w:cs="Open Sans"/>
        </w:rPr>
        <w:t xml:space="preserve"> los que se determinarán los objetivos, plazos, detalles de su ejecución, financiación, disponibilidad de personal y elementos necesarios para cumplir con las finalidades pactadas.</w:t>
      </w:r>
    </w:p>
    <w:p w:rsidR="007400D8" w:rsidRDefault="00DA412E">
      <w:pPr>
        <w:keepNext/>
        <w:spacing w:after="200"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u w:val="single"/>
        </w:rPr>
        <w:t>CUARTA: RESULTADOS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Los resultados alcanzados derivados de los planes de tra</w:t>
      </w:r>
      <w:r>
        <w:rPr>
          <w:rFonts w:ascii="Open Sans" w:eastAsia="Open Sans" w:hAnsi="Open Sans" w:cs="Open Sans"/>
        </w:rPr>
        <w:t>bajo y proyectos realizados en el marco de este Convenio, serán de propiedad común de las partes, estando sujetas ambas a idénticos derechos y obligaciones. En todos los casos se preservará el derecho de propiedad intelectual respecto de los proyectos y en</w:t>
      </w:r>
      <w:r>
        <w:rPr>
          <w:rFonts w:ascii="Open Sans" w:eastAsia="Open Sans" w:hAnsi="Open Sans" w:cs="Open Sans"/>
        </w:rPr>
        <w:t xml:space="preserve"> su caso de los ejecutantes.</w:t>
      </w:r>
    </w:p>
    <w:p w:rsidR="007400D8" w:rsidRDefault="00DA412E">
      <w:pPr>
        <w:keepNext/>
        <w:spacing w:after="200"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u w:val="single"/>
        </w:rPr>
        <w:t>QUINTA: PUBLICACIÓN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Los resultados, a los que se refiere la cláusula anterior, podrán ser publicados de común acuerdo, dejándose constancia en las publicaciones de la participación de los servicios correspondientes a cada una de las partes y del autor del proyecto u obra y en</w:t>
      </w:r>
      <w:r>
        <w:rPr>
          <w:rFonts w:ascii="Open Sans" w:eastAsia="Open Sans" w:hAnsi="Open Sans" w:cs="Open Sans"/>
        </w:rPr>
        <w:t xml:space="preserve"> su caso de los ejecutores.</w:t>
      </w:r>
    </w:p>
    <w:p w:rsidR="007400D8" w:rsidRDefault="00DA412E">
      <w:pPr>
        <w:keepNext/>
        <w:spacing w:after="200" w:line="360" w:lineRule="auto"/>
        <w:rPr>
          <w:rFonts w:ascii="Open Sans" w:eastAsia="Open Sans" w:hAnsi="Open Sans" w:cs="Open Sans"/>
          <w:b/>
          <w:u w:val="single"/>
        </w:rPr>
      </w:pPr>
      <w:r>
        <w:rPr>
          <w:rFonts w:ascii="Open Sans" w:eastAsia="Open Sans" w:hAnsi="Open Sans" w:cs="Open Sans"/>
          <w:b/>
          <w:u w:val="single"/>
        </w:rPr>
        <w:t>SEXTA: NO EXCLUSIVIDAD Y PARTICIPACIÓN DE TERCEROS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Las Partes dejan expresa constancia que la suscripción de los </w:t>
      </w:r>
      <w:r>
        <w:rPr>
          <w:rFonts w:ascii="Open Sans" w:eastAsia="Open Sans" w:hAnsi="Open Sans" w:cs="Open Sans"/>
          <w:b/>
        </w:rPr>
        <w:t xml:space="preserve">CONVENIOS ESPECÍFICOS </w:t>
      </w:r>
      <w:r>
        <w:rPr>
          <w:rFonts w:ascii="Open Sans" w:eastAsia="Open Sans" w:hAnsi="Open Sans" w:cs="Open Sans"/>
        </w:rPr>
        <w:t>no significa un obstáculo para que las partes signatarias, en forma conjunta o individual, pu</w:t>
      </w:r>
      <w:r>
        <w:rPr>
          <w:rFonts w:ascii="Open Sans" w:eastAsia="Open Sans" w:hAnsi="Open Sans" w:cs="Open Sans"/>
        </w:rPr>
        <w:t>edan concretar acuerdos similares con otras entidades, organismos o instituciones del país o del exterior interesadas en fines análogos. Sin perjuicio de ello, las partes se comprometen a efectuar mutuas consultas cuando las acciones emergentes del present</w:t>
      </w:r>
      <w:r>
        <w:rPr>
          <w:rFonts w:ascii="Open Sans" w:eastAsia="Open Sans" w:hAnsi="Open Sans" w:cs="Open Sans"/>
        </w:rPr>
        <w:t>e Convenio determinen la necesidad o conveniencia de concretar acuerdos en forma conjunta o individual con otras instituciones.</w:t>
      </w:r>
    </w:p>
    <w:p w:rsidR="007400D8" w:rsidRDefault="007400D8">
      <w:pPr>
        <w:spacing w:after="200" w:line="360" w:lineRule="auto"/>
        <w:jc w:val="both"/>
        <w:rPr>
          <w:rFonts w:ascii="Open Sans" w:eastAsia="Open Sans" w:hAnsi="Open Sans" w:cs="Open Sans"/>
          <w:b/>
          <w:u w:val="single"/>
        </w:rPr>
      </w:pP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u w:val="single"/>
        </w:rPr>
        <w:t>SÉPTIMA: RESPONSABILIDAD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Las Partes mantendrán el control, la individualidad y autonomía de sus respectivas estructuras técnica</w:t>
      </w:r>
      <w:r>
        <w:rPr>
          <w:rFonts w:ascii="Open Sans" w:eastAsia="Open Sans" w:hAnsi="Open Sans" w:cs="Open Sans"/>
        </w:rPr>
        <w:t>s, laborales y administrativas y asumirán las responsabilidades</w:t>
      </w:r>
      <w:proofErr w:type="gramStart"/>
      <w:r>
        <w:rPr>
          <w:rFonts w:ascii="Open Sans" w:eastAsia="Open Sans" w:hAnsi="Open Sans" w:cs="Open Sans"/>
        </w:rPr>
        <w:t>  que</w:t>
      </w:r>
      <w:proofErr w:type="gramEnd"/>
      <w:r>
        <w:rPr>
          <w:rFonts w:ascii="Open Sans" w:eastAsia="Open Sans" w:hAnsi="Open Sans" w:cs="Open Sans"/>
        </w:rPr>
        <w:t xml:space="preserve"> les correspondan.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u w:val="single"/>
        </w:rPr>
        <w:t>OCTAVA: DURACIÓN - FINALIZACIÓN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El presente Convenio Marco tendrá una duración de dos (2) años contados a partir del día de la suscripción del presente. Su renovación se</w:t>
      </w:r>
      <w:r>
        <w:rPr>
          <w:rFonts w:ascii="Open Sans" w:eastAsia="Open Sans" w:hAnsi="Open Sans" w:cs="Open Sans"/>
        </w:rPr>
        <w:t xml:space="preserve"> producirá en forma automática en iguales condiciones que las pactadas, salvo que alguna de las partes manifieste, de manera fehaciente, su decisión de no renovarlo en un plazo no inferior a los seis (6) meses anteriores a su vencimiento.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Cualquiera de las partes podrá dejar sin efecto el presente Convenio en cualquier momento previa notificación fehaciente realizada a la otra parte con una antelación no inferior a un (1) mes.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  <w:u w:val="single"/>
        </w:rPr>
      </w:pPr>
      <w:r>
        <w:rPr>
          <w:rFonts w:ascii="Open Sans" w:eastAsia="Open Sans" w:hAnsi="Open Sans" w:cs="Open Sans"/>
          <w:b/>
          <w:u w:val="single"/>
        </w:rPr>
        <w:t>NOVENA: OBLIGACIÓN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Tanto en caso de no renovación del Convenio M</w:t>
      </w:r>
      <w:r>
        <w:rPr>
          <w:rFonts w:ascii="Open Sans" w:eastAsia="Open Sans" w:hAnsi="Open Sans" w:cs="Open Sans"/>
        </w:rPr>
        <w:t>arco como de rescisión o resolución anticipada las partes se comprometen a no afectar actividades en curso de ejecución, las que proseguirán hasta su finalización, salvo expreso acuerdo en contrario.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u w:val="single"/>
        </w:rPr>
        <w:t>DÉCIMA: CASO FORTUITO O DE FUERZA MAYOR</w:t>
      </w:r>
    </w:p>
    <w:p w:rsidR="007400D8" w:rsidRDefault="00DA412E">
      <w:pPr>
        <w:spacing w:after="120" w:line="360" w:lineRule="auto"/>
        <w:jc w:val="both"/>
        <w:rPr>
          <w:rFonts w:ascii="Open Sans" w:eastAsia="Open Sans" w:hAnsi="Open Sans" w:cs="Open Sans"/>
          <w:u w:val="single"/>
        </w:rPr>
      </w:pPr>
      <w:bookmarkStart w:id="1" w:name="_heading=h.gjdgxs" w:colFirst="0" w:colLast="0"/>
      <w:bookmarkEnd w:id="1"/>
      <w:r>
        <w:rPr>
          <w:rFonts w:ascii="Open Sans" w:eastAsia="Open Sans" w:hAnsi="Open Sans" w:cs="Open Sans"/>
        </w:rPr>
        <w:t>Las razones de f</w:t>
      </w:r>
      <w:r>
        <w:rPr>
          <w:rFonts w:ascii="Open Sans" w:eastAsia="Open Sans" w:hAnsi="Open Sans" w:cs="Open Sans"/>
        </w:rPr>
        <w:t xml:space="preserve">uerza mayor o casos fortuitos que impidan el cumplimiento de los compromisos contraídos en el presente así como los contraídos en los </w:t>
      </w:r>
      <w:r>
        <w:rPr>
          <w:rFonts w:ascii="Open Sans" w:eastAsia="Open Sans" w:hAnsi="Open Sans" w:cs="Open Sans"/>
          <w:b/>
        </w:rPr>
        <w:t>CONVENIOS ESPECÍFICOS</w:t>
      </w:r>
      <w:r>
        <w:rPr>
          <w:rFonts w:ascii="Open Sans" w:eastAsia="Open Sans" w:hAnsi="Open Sans" w:cs="Open Sans"/>
        </w:rPr>
        <w:t xml:space="preserve"> deberán ser puestas en conocimiento de la otra parte dentro del término de treinta (30) días corrido</w:t>
      </w:r>
      <w:r>
        <w:rPr>
          <w:rFonts w:ascii="Open Sans" w:eastAsia="Open Sans" w:hAnsi="Open Sans" w:cs="Open Sans"/>
        </w:rPr>
        <w:t>s de producirse y de manera fehaciente. Esta circunstancia eximirá a la parte que lo comunique de toda responsabilidad derivada de aquellas razones.-</w:t>
      </w:r>
    </w:p>
    <w:p w:rsidR="007400D8" w:rsidRDefault="00DA412E">
      <w:pPr>
        <w:keepNext/>
        <w:spacing w:after="200" w:line="360" w:lineRule="auto"/>
        <w:rPr>
          <w:rFonts w:ascii="Open Sans" w:eastAsia="Open Sans" w:hAnsi="Open Sans" w:cs="Open Sans"/>
          <w:b/>
          <w:u w:val="single"/>
        </w:rPr>
      </w:pPr>
      <w:r>
        <w:rPr>
          <w:rFonts w:ascii="Open Sans" w:eastAsia="Open Sans" w:hAnsi="Open Sans" w:cs="Open Sans"/>
          <w:b/>
          <w:u w:val="single"/>
        </w:rPr>
        <w:t>DÉCIMO PRIMERA: JURISDICCIÓN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Este Convenio Marco se regirá por las leyes de la República Oriental del Urug</w:t>
      </w:r>
      <w:r>
        <w:rPr>
          <w:rFonts w:ascii="Open Sans" w:eastAsia="Open Sans" w:hAnsi="Open Sans" w:cs="Open Sans"/>
        </w:rPr>
        <w:t xml:space="preserve">uay. A todos los efectos legales, las partes de común acuerdo fijan como domicilio los arriba indicados, donde se tendrán por válidas todas las notificaciones judiciales y extrajudiciales. </w:t>
      </w:r>
      <w:r>
        <w:rPr>
          <w:rFonts w:ascii="Open Sans" w:eastAsia="Open Sans" w:hAnsi="Open Sans" w:cs="Open Sans"/>
        </w:rPr>
        <w:lastRenderedPageBreak/>
        <w:t>Cualquier disputa que surja de la interpretación del presente se re</w:t>
      </w:r>
      <w:r>
        <w:rPr>
          <w:rFonts w:ascii="Open Sans" w:eastAsia="Open Sans" w:hAnsi="Open Sans" w:cs="Open Sans"/>
        </w:rPr>
        <w:t>solverá mediante negociación.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En caso que las Partes no lleguen a un acuerdo, serán competentes tanto los Tribunales Federales con asiento en la Universidad de San Martín, Provincia de Buenos Aires, Argentina, como los Tribunales de la República Oriental d</w:t>
      </w:r>
      <w:r>
        <w:rPr>
          <w:rFonts w:ascii="Open Sans" w:eastAsia="Open Sans" w:hAnsi="Open Sans" w:cs="Open Sans"/>
        </w:rPr>
        <w:t>el Uruguay.</w:t>
      </w:r>
    </w:p>
    <w:p w:rsidR="007400D8" w:rsidRDefault="00DA412E">
      <w:pPr>
        <w:spacing w:after="20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En prueba de conformidad y para su fiel cumplimiento se firman dos ejemplares de un mismo tenor y a un sólo efecto.</w:t>
      </w:r>
    </w:p>
    <w:p w:rsidR="007400D8" w:rsidRDefault="007400D8">
      <w:pPr>
        <w:spacing w:after="200" w:line="360" w:lineRule="auto"/>
        <w:jc w:val="both"/>
        <w:rPr>
          <w:rFonts w:ascii="Open Sans" w:eastAsia="Open Sans" w:hAnsi="Open Sans" w:cs="Open Sans"/>
        </w:rPr>
      </w:pPr>
    </w:p>
    <w:p w:rsidR="007400D8" w:rsidRDefault="007400D8">
      <w:pPr>
        <w:spacing w:after="200" w:line="360" w:lineRule="auto"/>
        <w:jc w:val="both"/>
        <w:rPr>
          <w:rFonts w:ascii="Open Sans" w:eastAsia="Open Sans" w:hAnsi="Open Sans" w:cs="Open Sans"/>
        </w:rPr>
      </w:pPr>
    </w:p>
    <w:p w:rsidR="007400D8" w:rsidRDefault="007400D8">
      <w:pPr>
        <w:spacing w:after="200" w:line="360" w:lineRule="auto"/>
        <w:jc w:val="both"/>
        <w:rPr>
          <w:rFonts w:ascii="Open Sans" w:eastAsia="Open Sans" w:hAnsi="Open Sans" w:cs="Open Sans"/>
        </w:rPr>
      </w:pPr>
    </w:p>
    <w:p w:rsidR="007400D8" w:rsidRDefault="007400D8">
      <w:pPr>
        <w:spacing w:after="200" w:line="360" w:lineRule="auto"/>
        <w:jc w:val="both"/>
        <w:rPr>
          <w:rFonts w:ascii="Open Sans" w:eastAsia="Open Sans" w:hAnsi="Open Sans" w:cs="Open Sans"/>
        </w:rPr>
      </w:pPr>
    </w:p>
    <w:p w:rsidR="007400D8" w:rsidRDefault="007400D8">
      <w:pPr>
        <w:spacing w:after="200" w:line="360" w:lineRule="auto"/>
        <w:jc w:val="both"/>
        <w:rPr>
          <w:rFonts w:ascii="Open Sans" w:eastAsia="Open Sans" w:hAnsi="Open Sans" w:cs="Open Sans"/>
        </w:rPr>
      </w:pPr>
    </w:p>
    <w:tbl>
      <w:tblPr>
        <w:tblStyle w:val="a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400D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0D8" w:rsidRDefault="00DA4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Gonzalo </w:t>
            </w:r>
            <w:proofErr w:type="spellStart"/>
            <w:r>
              <w:rPr>
                <w:rFonts w:ascii="Open Sans" w:eastAsia="Open Sans" w:hAnsi="Open Sans" w:cs="Open Sans"/>
              </w:rPr>
              <w:t>Baroni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Boces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0D8" w:rsidRDefault="00DA4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Carlos Greco</w:t>
            </w:r>
          </w:p>
        </w:tc>
      </w:tr>
      <w:tr w:rsidR="007400D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0D8" w:rsidRDefault="00DA4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Director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0D8" w:rsidRDefault="00DA4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Rector</w:t>
            </w:r>
          </w:p>
        </w:tc>
      </w:tr>
      <w:tr w:rsidR="007400D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0D8" w:rsidRDefault="00DA4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Dirección Nacional de Educación</w:t>
            </w:r>
          </w:p>
          <w:p w:rsidR="007400D8" w:rsidRDefault="00DA4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Ministerio de Educación y Cultura</w:t>
            </w:r>
          </w:p>
          <w:p w:rsidR="007400D8" w:rsidRDefault="00DA4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Uruguay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0D8" w:rsidRDefault="00DA4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Universidad Nacional de San Martín</w:t>
            </w:r>
          </w:p>
        </w:tc>
      </w:tr>
    </w:tbl>
    <w:p w:rsidR="007400D8" w:rsidRDefault="007400D8">
      <w:pPr>
        <w:spacing w:after="200" w:line="360" w:lineRule="auto"/>
        <w:jc w:val="both"/>
        <w:rPr>
          <w:rFonts w:ascii="Open Sans" w:eastAsia="Open Sans" w:hAnsi="Open Sans" w:cs="Open Sans"/>
        </w:rPr>
      </w:pPr>
    </w:p>
    <w:p w:rsidR="007400D8" w:rsidRDefault="007400D8">
      <w:pPr>
        <w:spacing w:after="200" w:line="36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sectPr w:rsidR="007400D8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2E" w:rsidRDefault="00DA412E">
      <w:pPr>
        <w:spacing w:line="240" w:lineRule="auto"/>
      </w:pPr>
      <w:r>
        <w:separator/>
      </w:r>
    </w:p>
  </w:endnote>
  <w:endnote w:type="continuationSeparator" w:id="0">
    <w:p w:rsidR="00DA412E" w:rsidRDefault="00DA4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2E" w:rsidRDefault="00DA412E">
      <w:pPr>
        <w:spacing w:line="240" w:lineRule="auto"/>
      </w:pPr>
      <w:r>
        <w:separator/>
      </w:r>
    </w:p>
  </w:footnote>
  <w:footnote w:type="continuationSeparator" w:id="0">
    <w:p w:rsidR="00DA412E" w:rsidRDefault="00DA41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0D8" w:rsidRDefault="007400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3E3D"/>
    <w:multiLevelType w:val="multilevel"/>
    <w:tmpl w:val="F34A11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D8"/>
    <w:rsid w:val="007400D8"/>
    <w:rsid w:val="009D7062"/>
    <w:rsid w:val="00DA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0DAE506-2143-4C9A-98CB-8AA48E17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41CB"/>
  </w:style>
  <w:style w:type="paragraph" w:styleId="Ttulo1">
    <w:name w:val="heading 1"/>
    <w:basedOn w:val="Normal"/>
    <w:next w:val="Normal"/>
    <w:rsid w:val="001841C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1841C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1841C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1841C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1841C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1841C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1841CB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1841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841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841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41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41CB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841C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C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CBB"/>
    <w:rPr>
      <w:rFonts w:ascii="Tahoma" w:hAnsi="Tahoma" w:cs="Tahoma"/>
      <w:sz w:val="16"/>
      <w:szCs w:val="16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RdvG4A6Z6d2bOZB/zTyvkZghVA==">AMUW2mWgB73+1J8MkUoJEaT+N10NkSMbrcKCnoiQAJsbjhI+vb3ifs8QTIb9ROMzNkzUj0NfS8+/IY6xa462aqSSPpU7LDI+0kevsaDZAuXnxmWuhVFkP/wEfbCFRIpWyK9qGW+4lu0g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APRENDER Siempre</dc:creator>
  <cp:lastModifiedBy>criminologia</cp:lastModifiedBy>
  <cp:revision>2</cp:revision>
  <dcterms:created xsi:type="dcterms:W3CDTF">2022-06-27T13:57:00Z</dcterms:created>
  <dcterms:modified xsi:type="dcterms:W3CDTF">2022-06-27T13:57:00Z</dcterms:modified>
</cp:coreProperties>
</file>